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C1B0" w14:textId="101EFE6D" w:rsidR="00492D9E" w:rsidRDefault="009E040B" w:rsidP="00ED6710">
      <w:pPr>
        <w:jc w:val="right"/>
        <w:rPr>
          <w:rFonts w:ascii="Arial" w:hAnsi="Arial" w:cs="Arial"/>
          <w:b/>
          <w:sz w:val="44"/>
          <w:szCs w:val="4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0135213" wp14:editId="50405867">
            <wp:extent cx="1984677" cy="4830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C_Logo_H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546" cy="52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64C13" w14:textId="77777777" w:rsidR="008B7874" w:rsidRDefault="008B7874" w:rsidP="008B7874">
      <w:pPr>
        <w:spacing w:after="0"/>
        <w:rPr>
          <w:rFonts w:ascii="Arial" w:hAnsi="Arial" w:cs="Arial"/>
          <w:b/>
          <w:sz w:val="44"/>
        </w:rPr>
      </w:pPr>
    </w:p>
    <w:p w14:paraId="1F1736FA" w14:textId="7F5EE4F7" w:rsidR="008B7874" w:rsidRPr="00277F7B" w:rsidRDefault="1F25AD3A" w:rsidP="7EE8641F">
      <w:pPr>
        <w:spacing w:after="0"/>
        <w:rPr>
          <w:rFonts w:ascii="Arial" w:hAnsi="Arial" w:cs="Arial"/>
          <w:b/>
          <w:bCs/>
          <w:sz w:val="44"/>
          <w:szCs w:val="44"/>
        </w:rPr>
      </w:pPr>
      <w:r w:rsidRPr="326157A2">
        <w:rPr>
          <w:rFonts w:ascii="Arial" w:hAnsi="Arial" w:cs="Arial"/>
          <w:b/>
          <w:bCs/>
          <w:sz w:val="44"/>
          <w:szCs w:val="44"/>
        </w:rPr>
        <w:t xml:space="preserve">ARC </w:t>
      </w:r>
      <w:r w:rsidR="3470E532" w:rsidRPr="326157A2">
        <w:rPr>
          <w:rFonts w:ascii="Arial" w:hAnsi="Arial" w:cs="Arial"/>
          <w:b/>
          <w:bCs/>
          <w:sz w:val="44"/>
          <w:szCs w:val="44"/>
        </w:rPr>
        <w:t>605</w:t>
      </w:r>
    </w:p>
    <w:p w14:paraId="58A4DEA0" w14:textId="2DF530A6" w:rsidR="008B7874" w:rsidRPr="00277F7B" w:rsidRDefault="00B8642E" w:rsidP="74BBFE9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44"/>
          <w:szCs w:val="44"/>
        </w:rPr>
      </w:pPr>
      <w:r w:rsidRPr="74BBFE96">
        <w:rPr>
          <w:rFonts w:ascii="Arial" w:hAnsi="Arial" w:cs="Arial"/>
          <w:sz w:val="44"/>
          <w:szCs w:val="44"/>
        </w:rPr>
        <w:t xml:space="preserve">Digital </w:t>
      </w:r>
      <w:r w:rsidR="00FF78C9" w:rsidRPr="74BBFE96">
        <w:rPr>
          <w:rFonts w:ascii="Arial" w:hAnsi="Arial" w:cs="Arial"/>
          <w:sz w:val="44"/>
          <w:szCs w:val="44"/>
        </w:rPr>
        <w:t>Student Data Transfer</w:t>
      </w:r>
      <w:r w:rsidR="00396F14" w:rsidRPr="74BBFE96">
        <w:rPr>
          <w:rFonts w:ascii="Arial" w:hAnsi="Arial" w:cs="Arial"/>
          <w:sz w:val="44"/>
          <w:szCs w:val="44"/>
        </w:rPr>
        <w:t xml:space="preserve"> Policy</w:t>
      </w:r>
    </w:p>
    <w:p w14:paraId="47FD76BE" w14:textId="77777777" w:rsidR="008B7874" w:rsidRDefault="008B7874" w:rsidP="008B78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1C12FF6" w14:textId="77777777" w:rsidR="008B7874" w:rsidRDefault="008B7874" w:rsidP="008B787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77F7B">
        <w:rPr>
          <w:rFonts w:ascii="Arial" w:hAnsi="Arial" w:cs="Arial"/>
          <w:b/>
          <w:sz w:val="28"/>
          <w:szCs w:val="28"/>
        </w:rPr>
        <w:t>PURPOSE</w:t>
      </w:r>
    </w:p>
    <w:p w14:paraId="0FB079F3" w14:textId="684E58D1" w:rsidR="00015B53" w:rsidRPr="008C76F8" w:rsidRDefault="5FC076F3" w:rsidP="77C33BC3">
      <w:pPr>
        <w:spacing w:line="240" w:lineRule="auto"/>
        <w:rPr>
          <w:rFonts w:ascii="Arial" w:hAnsi="Arial" w:cs="Arial"/>
          <w:sz w:val="24"/>
          <w:szCs w:val="24"/>
        </w:rPr>
      </w:pPr>
      <w:r w:rsidRPr="008C76F8">
        <w:rPr>
          <w:rFonts w:ascii="Arial" w:hAnsi="Arial" w:cs="Arial"/>
          <w:sz w:val="24"/>
          <w:szCs w:val="24"/>
        </w:rPr>
        <w:t xml:space="preserve">Establishes the policy and expectations for </w:t>
      </w:r>
      <w:r w:rsidR="6A04F11B" w:rsidRPr="008C76F8">
        <w:rPr>
          <w:rFonts w:ascii="Arial" w:hAnsi="Arial" w:cs="Arial"/>
          <w:sz w:val="24"/>
          <w:szCs w:val="24"/>
        </w:rPr>
        <w:t>transfer</w:t>
      </w:r>
      <w:r w:rsidR="41D424BE" w:rsidRPr="008C76F8">
        <w:rPr>
          <w:rFonts w:ascii="Arial" w:hAnsi="Arial" w:cs="Arial"/>
          <w:sz w:val="24"/>
          <w:szCs w:val="24"/>
        </w:rPr>
        <w:t>r</w:t>
      </w:r>
      <w:r w:rsidR="0EEB89CC" w:rsidRPr="008C76F8">
        <w:rPr>
          <w:rFonts w:ascii="Arial" w:hAnsi="Arial" w:cs="Arial"/>
          <w:sz w:val="24"/>
          <w:szCs w:val="24"/>
        </w:rPr>
        <w:t>ing</w:t>
      </w:r>
      <w:r w:rsidR="6A04F11B" w:rsidRPr="008C76F8">
        <w:rPr>
          <w:rFonts w:ascii="Arial" w:hAnsi="Arial" w:cs="Arial"/>
          <w:sz w:val="24"/>
          <w:szCs w:val="24"/>
        </w:rPr>
        <w:t xml:space="preserve"> student data</w:t>
      </w:r>
      <w:r w:rsidR="00362CF5">
        <w:rPr>
          <w:rFonts w:ascii="Arial" w:hAnsi="Arial" w:cs="Arial"/>
          <w:sz w:val="24"/>
          <w:szCs w:val="24"/>
        </w:rPr>
        <w:t>-</w:t>
      </w:r>
      <w:r w:rsidR="41D424BE" w:rsidRPr="008C76F8">
        <w:rPr>
          <w:rFonts w:ascii="Arial" w:hAnsi="Arial" w:cs="Arial"/>
          <w:sz w:val="24"/>
          <w:szCs w:val="24"/>
        </w:rPr>
        <w:t>sets</w:t>
      </w:r>
      <w:r w:rsidR="375C9460" w:rsidRPr="008C76F8">
        <w:rPr>
          <w:rFonts w:ascii="Arial" w:hAnsi="Arial" w:cs="Arial"/>
          <w:sz w:val="24"/>
          <w:szCs w:val="24"/>
        </w:rPr>
        <w:t xml:space="preserve"> </w:t>
      </w:r>
      <w:r w:rsidR="006B1B5E" w:rsidRPr="008C76F8">
        <w:rPr>
          <w:rFonts w:ascii="Arial" w:hAnsi="Arial" w:cs="Arial"/>
          <w:sz w:val="24"/>
          <w:szCs w:val="24"/>
        </w:rPr>
        <w:t>electronically</w:t>
      </w:r>
      <w:r w:rsidR="00DA1145" w:rsidRPr="008C76F8">
        <w:rPr>
          <w:rFonts w:ascii="Arial" w:hAnsi="Arial" w:cs="Arial"/>
          <w:sz w:val="24"/>
          <w:szCs w:val="24"/>
        </w:rPr>
        <w:t xml:space="preserve"> internally or externally</w:t>
      </w:r>
      <w:r w:rsidR="00015B53" w:rsidRPr="008C76F8">
        <w:rPr>
          <w:rFonts w:ascii="Arial" w:hAnsi="Arial" w:cs="Arial"/>
          <w:sz w:val="24"/>
          <w:szCs w:val="24"/>
        </w:rPr>
        <w:t xml:space="preserve">. </w:t>
      </w:r>
    </w:p>
    <w:p w14:paraId="27B3157C" w14:textId="181C1B25" w:rsidR="008B7874" w:rsidRDefault="008B7874" w:rsidP="008B787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73FFD">
        <w:rPr>
          <w:rFonts w:ascii="Arial" w:hAnsi="Arial" w:cs="Arial"/>
          <w:b/>
          <w:sz w:val="28"/>
          <w:szCs w:val="28"/>
        </w:rPr>
        <w:t>SUMMARY</w:t>
      </w:r>
    </w:p>
    <w:p w14:paraId="1808DCC1" w14:textId="1C6A3643" w:rsidR="006259E1" w:rsidRPr="008C76F8" w:rsidRDefault="006259E1" w:rsidP="006259E1">
      <w:pPr>
        <w:spacing w:line="240" w:lineRule="auto"/>
        <w:rPr>
          <w:rFonts w:ascii="Arial" w:hAnsi="Arial" w:cs="Arial"/>
          <w:sz w:val="24"/>
          <w:szCs w:val="24"/>
        </w:rPr>
      </w:pPr>
      <w:r w:rsidRPr="008C76F8">
        <w:rPr>
          <w:rFonts w:ascii="Arial" w:hAnsi="Arial" w:cs="Arial"/>
          <w:sz w:val="24"/>
          <w:szCs w:val="24"/>
        </w:rPr>
        <w:t>Student data typically includes sensitive and confidential information that should not be shared unless it is being shared as part of a legitimate educational interest.  Breaches of student information could result in harm to individuals, financial loss, damage to the person’s reputation, or legal repercussions. Maintaining the integrity of our student records</w:t>
      </w:r>
      <w:r w:rsidR="00884BF5" w:rsidRPr="008C76F8">
        <w:rPr>
          <w:rFonts w:ascii="Arial" w:hAnsi="Arial" w:cs="Arial"/>
          <w:sz w:val="24"/>
          <w:szCs w:val="24"/>
        </w:rPr>
        <w:t xml:space="preserve"> to ensure</w:t>
      </w:r>
      <w:r w:rsidRPr="008C76F8">
        <w:rPr>
          <w:rFonts w:ascii="Arial" w:hAnsi="Arial" w:cs="Arial"/>
          <w:sz w:val="24"/>
          <w:szCs w:val="24"/>
        </w:rPr>
        <w:t xml:space="preserve"> information is not accessed and distributed by unauthorized individuals is every employee's responsibility. </w:t>
      </w:r>
    </w:p>
    <w:p w14:paraId="795DE838" w14:textId="200A0C9E" w:rsidR="00160496" w:rsidRPr="008C76F8" w:rsidRDefault="00C74B44" w:rsidP="00015B53">
      <w:pPr>
        <w:spacing w:line="240" w:lineRule="auto"/>
        <w:rPr>
          <w:rFonts w:ascii="Arial" w:hAnsi="Arial" w:cs="Arial"/>
          <w:sz w:val="24"/>
          <w:szCs w:val="24"/>
        </w:rPr>
      </w:pPr>
      <w:r w:rsidRPr="008C76F8">
        <w:rPr>
          <w:rFonts w:ascii="Arial" w:hAnsi="Arial" w:cs="Arial"/>
          <w:sz w:val="24"/>
          <w:szCs w:val="24"/>
        </w:rPr>
        <w:t xml:space="preserve">Employees must use </w:t>
      </w:r>
      <w:r w:rsidR="00015B53" w:rsidRPr="008C76F8">
        <w:rPr>
          <w:rFonts w:ascii="Arial" w:hAnsi="Arial" w:cs="Arial"/>
          <w:sz w:val="24"/>
          <w:szCs w:val="24"/>
        </w:rPr>
        <w:t>privacy and security best practices</w:t>
      </w:r>
      <w:r w:rsidRPr="008C76F8">
        <w:rPr>
          <w:rFonts w:ascii="Arial" w:hAnsi="Arial" w:cs="Arial"/>
          <w:sz w:val="24"/>
          <w:szCs w:val="24"/>
        </w:rPr>
        <w:t xml:space="preserve"> when sharing student records.  </w:t>
      </w:r>
      <w:r w:rsidR="006259E1" w:rsidRPr="008C76F8">
        <w:rPr>
          <w:rFonts w:ascii="Arial" w:hAnsi="Arial" w:cs="Arial"/>
          <w:sz w:val="24"/>
          <w:szCs w:val="24"/>
        </w:rPr>
        <w:t xml:space="preserve"> </w:t>
      </w:r>
      <w:r w:rsidR="00015B53" w:rsidRPr="008C76F8">
        <w:rPr>
          <w:rFonts w:ascii="Arial" w:hAnsi="Arial" w:cs="Arial"/>
          <w:sz w:val="24"/>
          <w:szCs w:val="24"/>
        </w:rPr>
        <w:t xml:space="preserve">Unencrypted methods of data transfer, such as email, should not be used for transferring </w:t>
      </w:r>
      <w:r w:rsidR="00C03D59" w:rsidRPr="008C76F8">
        <w:rPr>
          <w:rFonts w:ascii="Arial" w:hAnsi="Arial" w:cs="Arial"/>
          <w:sz w:val="24"/>
          <w:szCs w:val="24"/>
        </w:rPr>
        <w:t xml:space="preserve">electronic </w:t>
      </w:r>
      <w:r w:rsidR="00015B53" w:rsidRPr="008C76F8">
        <w:rPr>
          <w:rFonts w:ascii="Arial" w:hAnsi="Arial" w:cs="Arial"/>
          <w:sz w:val="24"/>
          <w:szCs w:val="24"/>
        </w:rPr>
        <w:t>datasets</w:t>
      </w:r>
      <w:r w:rsidR="00B11C6C" w:rsidRPr="008C76F8">
        <w:rPr>
          <w:rFonts w:ascii="Arial" w:hAnsi="Arial" w:cs="Arial"/>
          <w:sz w:val="24"/>
          <w:szCs w:val="24"/>
        </w:rPr>
        <w:t xml:space="preserve"> for more than a few students</w:t>
      </w:r>
      <w:r w:rsidR="00015B53" w:rsidRPr="008C76F8">
        <w:rPr>
          <w:rFonts w:ascii="Arial" w:hAnsi="Arial" w:cs="Arial"/>
          <w:sz w:val="24"/>
          <w:szCs w:val="24"/>
        </w:rPr>
        <w:t xml:space="preserve">.  </w:t>
      </w:r>
    </w:p>
    <w:p w14:paraId="06384EC5" w14:textId="5ACF006D" w:rsidR="77C33BC3" w:rsidRPr="008C76F8" w:rsidRDefault="00C74B44" w:rsidP="004F7EA3">
      <w:pPr>
        <w:spacing w:line="240" w:lineRule="auto"/>
        <w:rPr>
          <w:rStyle w:val="normaltextrun"/>
          <w:rFonts w:ascii="Arial" w:hAnsi="Arial" w:cs="Arial"/>
          <w:sz w:val="24"/>
          <w:szCs w:val="24"/>
        </w:rPr>
      </w:pPr>
      <w:r w:rsidRPr="008C76F8">
        <w:rPr>
          <w:rFonts w:ascii="Arial" w:hAnsi="Arial" w:cs="Arial"/>
          <w:sz w:val="24"/>
          <w:szCs w:val="24"/>
        </w:rPr>
        <w:t xml:space="preserve">Sharing data using </w:t>
      </w:r>
      <w:r w:rsidR="00362CF5">
        <w:rPr>
          <w:rFonts w:ascii="Arial" w:hAnsi="Arial" w:cs="Arial"/>
          <w:sz w:val="24"/>
          <w:szCs w:val="24"/>
        </w:rPr>
        <w:t xml:space="preserve">allowable </w:t>
      </w:r>
      <w:r w:rsidRPr="008C76F8">
        <w:rPr>
          <w:rFonts w:ascii="Arial" w:hAnsi="Arial" w:cs="Arial"/>
          <w:sz w:val="24"/>
          <w:szCs w:val="24"/>
        </w:rPr>
        <w:t>e</w:t>
      </w:r>
      <w:r w:rsidR="00015B53" w:rsidRPr="008C76F8">
        <w:rPr>
          <w:rFonts w:ascii="Arial" w:hAnsi="Arial" w:cs="Arial"/>
          <w:sz w:val="24"/>
          <w:szCs w:val="24"/>
        </w:rPr>
        <w:t xml:space="preserve">ncrypted methods are </w:t>
      </w:r>
      <w:r w:rsidR="00160496" w:rsidRPr="008C76F8">
        <w:rPr>
          <w:rFonts w:ascii="Arial" w:hAnsi="Arial" w:cs="Arial"/>
          <w:sz w:val="24"/>
          <w:szCs w:val="24"/>
        </w:rPr>
        <w:t>outlined</w:t>
      </w:r>
      <w:r w:rsidR="00015B53" w:rsidRPr="008C76F8">
        <w:rPr>
          <w:rFonts w:ascii="Arial" w:hAnsi="Arial" w:cs="Arial"/>
          <w:sz w:val="24"/>
          <w:szCs w:val="24"/>
        </w:rPr>
        <w:t xml:space="preserve"> in ARC 60</w:t>
      </w:r>
      <w:r w:rsidR="00160496" w:rsidRPr="008C76F8">
        <w:rPr>
          <w:rFonts w:ascii="Arial" w:hAnsi="Arial" w:cs="Arial"/>
          <w:sz w:val="24"/>
          <w:szCs w:val="24"/>
        </w:rPr>
        <w:t>5</w:t>
      </w:r>
      <w:r w:rsidR="00015B53" w:rsidRPr="008C76F8">
        <w:rPr>
          <w:rFonts w:ascii="Arial" w:hAnsi="Arial" w:cs="Arial"/>
          <w:sz w:val="24"/>
          <w:szCs w:val="24"/>
        </w:rPr>
        <w:t xml:space="preserve">P.  </w:t>
      </w:r>
    </w:p>
    <w:p w14:paraId="0C34B547" w14:textId="0BD126C6" w:rsidR="001609DA" w:rsidRDefault="001609DA" w:rsidP="001609DA">
      <w:pPr>
        <w:spacing w:line="240" w:lineRule="auto"/>
        <w:rPr>
          <w:rFonts w:ascii="Arial" w:hAnsi="Arial" w:cs="Arial"/>
          <w:b/>
          <w:sz w:val="28"/>
          <w:szCs w:val="28"/>
        </w:rPr>
      </w:pPr>
      <w:bookmarkStart w:id="0" w:name="_Hlk155602370"/>
      <w:r>
        <w:rPr>
          <w:rFonts w:ascii="Arial" w:hAnsi="Arial" w:cs="Arial"/>
          <w:b/>
          <w:sz w:val="28"/>
          <w:szCs w:val="28"/>
        </w:rPr>
        <w:t>DEFINITION</w:t>
      </w:r>
      <w:r w:rsidR="000F4179">
        <w:rPr>
          <w:rFonts w:ascii="Arial" w:hAnsi="Arial" w:cs="Arial"/>
          <w:b/>
          <w:sz w:val="28"/>
          <w:szCs w:val="28"/>
        </w:rPr>
        <w:t>S</w:t>
      </w:r>
    </w:p>
    <w:p w14:paraId="5D1B16EB" w14:textId="283C8C0B" w:rsidR="001609DA" w:rsidRPr="000F4179" w:rsidRDefault="001609DA" w:rsidP="001609DA">
      <w:pPr>
        <w:spacing w:line="240" w:lineRule="auto"/>
        <w:rPr>
          <w:rFonts w:ascii="Arial" w:hAnsi="Arial" w:cs="Arial"/>
          <w:lang w:val="en"/>
        </w:rPr>
      </w:pPr>
      <w:r w:rsidRPr="008C76F8">
        <w:rPr>
          <w:rFonts w:ascii="Arial" w:hAnsi="Arial" w:cs="Arial"/>
          <w:sz w:val="24"/>
          <w:szCs w:val="24"/>
        </w:rPr>
        <w:t>“A few students” are defined as 5 or less and would have the lowest amount of impact and harm in the case of a data breach. Allowing the use of email for a few students will reduce the impact on day-to-day processes.</w:t>
      </w:r>
      <w:r w:rsidR="00015B53" w:rsidRPr="008C76F8">
        <w:rPr>
          <w:rStyle w:val="normaltextrun"/>
          <w:rFonts w:ascii="Arial" w:hAnsi="Arial" w:cs="Arial"/>
          <w:lang w:val="en"/>
        </w:rPr>
        <w:t xml:space="preserve"> </w:t>
      </w:r>
    </w:p>
    <w:p w14:paraId="6382523F" w14:textId="35D53C5E" w:rsidR="00936668" w:rsidRPr="008C76F8" w:rsidRDefault="000F4179" w:rsidP="001609DA">
      <w:p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“</w:t>
      </w:r>
      <w:r w:rsidR="00936668">
        <w:rPr>
          <w:rFonts w:ascii="Arial" w:hAnsi="Arial" w:cs="Arial"/>
          <w:sz w:val="24"/>
          <w:szCs w:val="24"/>
          <w:lang w:val="en"/>
        </w:rPr>
        <w:t>Student data</w:t>
      </w:r>
      <w:r>
        <w:rPr>
          <w:rFonts w:ascii="Arial" w:hAnsi="Arial" w:cs="Arial"/>
          <w:sz w:val="24"/>
          <w:szCs w:val="24"/>
          <w:lang w:val="en"/>
        </w:rPr>
        <w:t>”</w:t>
      </w:r>
      <w:r w:rsidR="00936668">
        <w:rPr>
          <w:rFonts w:ascii="Arial" w:hAnsi="Arial" w:cs="Arial"/>
          <w:sz w:val="24"/>
          <w:szCs w:val="24"/>
          <w:lang w:val="en"/>
        </w:rPr>
        <w:t xml:space="preserve"> is defined as anything related to the student</w:t>
      </w:r>
      <w:r w:rsidR="00362CF5">
        <w:rPr>
          <w:rFonts w:ascii="Arial" w:hAnsi="Arial" w:cs="Arial"/>
          <w:sz w:val="24"/>
          <w:szCs w:val="24"/>
          <w:lang w:val="en"/>
        </w:rPr>
        <w:t>,</w:t>
      </w:r>
      <w:r w:rsidR="00936668">
        <w:rPr>
          <w:rFonts w:ascii="Arial" w:hAnsi="Arial" w:cs="Arial"/>
          <w:sz w:val="24"/>
          <w:szCs w:val="24"/>
          <w:lang w:val="en"/>
        </w:rPr>
        <w:t xml:space="preserve"> including contact, demographic, and all academic information.</w:t>
      </w:r>
    </w:p>
    <w:bookmarkEnd w:id="0"/>
    <w:p w14:paraId="25151E28" w14:textId="18F0AEBE" w:rsidR="77C33BC3" w:rsidRPr="0069383E" w:rsidRDefault="001609DA" w:rsidP="0069383E">
      <w:pPr>
        <w:spacing w:line="240" w:lineRule="auto"/>
        <w:rPr>
          <w:rStyle w:val="normaltextrun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EXCEPTIONS</w:t>
      </w:r>
    </w:p>
    <w:p w14:paraId="666E6CB8" w14:textId="7FB7EDA7" w:rsidR="00851681" w:rsidRPr="008C76F8" w:rsidRDefault="31D33739" w:rsidP="77C33BC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76F8">
        <w:rPr>
          <w:rStyle w:val="normaltextrun"/>
          <w:rFonts w:ascii="Arial" w:hAnsi="Arial" w:cs="Arial"/>
          <w:lang w:val="en"/>
        </w:rPr>
        <w:t>S</w:t>
      </w:r>
      <w:r w:rsidR="00851681" w:rsidRPr="008C76F8">
        <w:rPr>
          <w:rStyle w:val="normaltextrun"/>
          <w:rFonts w:ascii="Arial" w:hAnsi="Arial" w:cs="Arial"/>
          <w:lang w:val="en"/>
        </w:rPr>
        <w:t xml:space="preserve">ituations where information is being shared directly with the student and the student’s identity has been verified (contact Registrar for proper protocols)  </w:t>
      </w:r>
    </w:p>
    <w:p w14:paraId="33973ECD" w14:textId="5A2438F4" w:rsidR="00851681" w:rsidRPr="008C76F8" w:rsidRDefault="00F911A2" w:rsidP="77C33BC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76F8">
        <w:rPr>
          <w:rStyle w:val="normaltextrun"/>
          <w:rFonts w:ascii="Arial" w:hAnsi="Arial" w:cs="Arial"/>
          <w:lang w:val="en"/>
        </w:rPr>
        <w:t>Fulfilling</w:t>
      </w:r>
      <w:r w:rsidR="6617B849" w:rsidRPr="008C76F8">
        <w:rPr>
          <w:rStyle w:val="normaltextrun"/>
          <w:rFonts w:ascii="Arial" w:hAnsi="Arial" w:cs="Arial"/>
          <w:lang w:val="en"/>
        </w:rPr>
        <w:t xml:space="preserve"> </w:t>
      </w:r>
      <w:r w:rsidR="00851681" w:rsidRPr="008C76F8">
        <w:rPr>
          <w:rStyle w:val="normaltextrun"/>
          <w:rFonts w:ascii="Arial" w:hAnsi="Arial" w:cs="Arial"/>
          <w:lang w:val="en"/>
        </w:rPr>
        <w:t>subpoenas.</w:t>
      </w:r>
    </w:p>
    <w:p w14:paraId="51395AB3" w14:textId="77777777" w:rsidR="000F4179" w:rsidRDefault="000F4179" w:rsidP="00F5745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00525AFD" w14:textId="6FB36BBE" w:rsidR="00F5745C" w:rsidRDefault="00F5745C" w:rsidP="00F5745C">
      <w:pPr>
        <w:spacing w:line="240" w:lineRule="auto"/>
        <w:rPr>
          <w:rFonts w:ascii="Arial" w:hAnsi="Arial" w:cs="Arial"/>
          <w:b/>
          <w:sz w:val="28"/>
          <w:szCs w:val="28"/>
        </w:rPr>
      </w:pPr>
      <w:bookmarkStart w:id="1" w:name="_Hlk155602432"/>
      <w:r>
        <w:rPr>
          <w:rFonts w:ascii="Arial" w:hAnsi="Arial" w:cs="Arial"/>
          <w:b/>
          <w:sz w:val="28"/>
          <w:szCs w:val="28"/>
        </w:rPr>
        <w:t>Applicability</w:t>
      </w:r>
    </w:p>
    <w:p w14:paraId="4B60FE3B" w14:textId="75008037" w:rsidR="00F5745C" w:rsidRPr="000B3F9E" w:rsidRDefault="00F5745C" w:rsidP="00F5745C">
      <w:pPr>
        <w:spacing w:after="0" w:line="246" w:lineRule="auto"/>
        <w:ind w:right="127"/>
        <w:rPr>
          <w:rFonts w:ascii="Arial" w:eastAsia="Times New Roman" w:hAnsi="Arial" w:cs="Arial"/>
          <w:sz w:val="24"/>
          <w:szCs w:val="24"/>
        </w:rPr>
      </w:pPr>
      <w:r w:rsidRPr="000B3F9E">
        <w:rPr>
          <w:rFonts w:ascii="Arial" w:eastAsia="Times New Roman" w:hAnsi="Arial" w:cs="Arial"/>
          <w:sz w:val="24"/>
          <w:szCs w:val="24"/>
        </w:rPr>
        <w:t>This policy applies to all College employees.</w:t>
      </w:r>
    </w:p>
    <w:bookmarkEnd w:id="1"/>
    <w:p w14:paraId="792E4D24" w14:textId="77777777" w:rsidR="00F5745C" w:rsidRDefault="00F5745C" w:rsidP="004F7EA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3EC151A2" w14:textId="05C1DC55" w:rsidR="004F7EA3" w:rsidRDefault="004F7EA3" w:rsidP="004F7EA3">
      <w:pPr>
        <w:spacing w:line="240" w:lineRule="auto"/>
        <w:rPr>
          <w:rFonts w:ascii="Arial" w:hAnsi="Arial" w:cs="Arial"/>
          <w:b/>
          <w:sz w:val="28"/>
          <w:szCs w:val="28"/>
        </w:rPr>
      </w:pPr>
      <w:bookmarkStart w:id="2" w:name="_Hlk155252362"/>
      <w:r>
        <w:rPr>
          <w:rFonts w:ascii="Arial" w:hAnsi="Arial" w:cs="Arial"/>
          <w:b/>
          <w:sz w:val="28"/>
          <w:szCs w:val="28"/>
        </w:rPr>
        <w:lastRenderedPageBreak/>
        <w:t>Enforcement</w:t>
      </w:r>
    </w:p>
    <w:p w14:paraId="3EA5F672" w14:textId="30E782BB" w:rsidR="004F7EA3" w:rsidRPr="000B3F9E" w:rsidRDefault="004F7EA3" w:rsidP="004F7EA3">
      <w:pPr>
        <w:spacing w:line="240" w:lineRule="auto"/>
        <w:rPr>
          <w:rFonts w:ascii="Arial" w:hAnsi="Arial" w:cs="Arial"/>
          <w:sz w:val="24"/>
          <w:szCs w:val="24"/>
        </w:rPr>
      </w:pPr>
      <w:r w:rsidRPr="000B3F9E">
        <w:rPr>
          <w:rFonts w:ascii="Arial" w:hAnsi="Arial" w:cs="Arial"/>
          <w:sz w:val="24"/>
          <w:szCs w:val="24"/>
        </w:rPr>
        <w:t>In the event of a data breach, the appropriate CCC employee will work with the Registrar and appropriate authorities to take the following actions:</w:t>
      </w:r>
    </w:p>
    <w:p w14:paraId="7FEC4861" w14:textId="664AEBD1" w:rsidR="004F7EA3" w:rsidRPr="000B3F9E" w:rsidRDefault="004F7EA3" w:rsidP="00382D7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"/>
        </w:rPr>
      </w:pPr>
      <w:r w:rsidRPr="000B3F9E">
        <w:rPr>
          <w:rStyle w:val="normaltextrun"/>
          <w:rFonts w:ascii="Arial" w:hAnsi="Arial" w:cs="Arial"/>
          <w:lang w:val="en"/>
        </w:rPr>
        <w:t>Determine what information was compromised</w:t>
      </w:r>
      <w:r w:rsidR="00362CF5">
        <w:rPr>
          <w:rStyle w:val="normaltextrun"/>
          <w:rFonts w:ascii="Arial" w:hAnsi="Arial" w:cs="Arial"/>
          <w:lang w:val="en"/>
        </w:rPr>
        <w:t>.</w:t>
      </w:r>
    </w:p>
    <w:p w14:paraId="2A1D61A1" w14:textId="01560B6F" w:rsidR="004F7EA3" w:rsidRPr="000B3F9E" w:rsidRDefault="004F7EA3" w:rsidP="00382D7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"/>
        </w:rPr>
      </w:pPr>
      <w:r w:rsidRPr="000B3F9E">
        <w:rPr>
          <w:rStyle w:val="normaltextrun"/>
          <w:rFonts w:ascii="Arial" w:hAnsi="Arial" w:cs="Arial"/>
          <w:lang w:val="en"/>
        </w:rPr>
        <w:t>Take immediate steps to retrieve data and prevent further disclosures</w:t>
      </w:r>
      <w:r w:rsidR="00362CF5">
        <w:rPr>
          <w:rStyle w:val="normaltextrun"/>
          <w:rFonts w:ascii="Arial" w:hAnsi="Arial" w:cs="Arial"/>
          <w:lang w:val="en"/>
        </w:rPr>
        <w:t>.</w:t>
      </w:r>
    </w:p>
    <w:p w14:paraId="53161D0C" w14:textId="18699F47" w:rsidR="004F7EA3" w:rsidRPr="000B3F9E" w:rsidRDefault="004F7EA3" w:rsidP="00382D7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"/>
        </w:rPr>
      </w:pPr>
      <w:r w:rsidRPr="000B3F9E">
        <w:rPr>
          <w:rStyle w:val="normaltextrun"/>
          <w:rFonts w:ascii="Arial" w:hAnsi="Arial" w:cs="Arial"/>
          <w:lang w:val="en"/>
        </w:rPr>
        <w:t>Identify which policies and procedures may have been breached</w:t>
      </w:r>
      <w:r w:rsidR="00362CF5">
        <w:rPr>
          <w:rStyle w:val="normaltextrun"/>
          <w:rFonts w:ascii="Arial" w:hAnsi="Arial" w:cs="Arial"/>
          <w:lang w:val="en"/>
        </w:rPr>
        <w:t>.</w:t>
      </w:r>
    </w:p>
    <w:p w14:paraId="24044F18" w14:textId="2F6ADF23" w:rsidR="004F7EA3" w:rsidRPr="000B3F9E" w:rsidRDefault="004F7EA3" w:rsidP="00382D7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"/>
        </w:rPr>
      </w:pPr>
      <w:r w:rsidRPr="000B3F9E">
        <w:rPr>
          <w:rStyle w:val="normaltextrun"/>
          <w:rFonts w:ascii="Arial" w:hAnsi="Arial" w:cs="Arial"/>
          <w:lang w:val="en"/>
        </w:rPr>
        <w:t>Identify all affected records and students</w:t>
      </w:r>
      <w:r w:rsidR="00362CF5">
        <w:rPr>
          <w:rStyle w:val="normaltextrun"/>
          <w:rFonts w:ascii="Arial" w:hAnsi="Arial" w:cs="Arial"/>
          <w:lang w:val="en"/>
        </w:rPr>
        <w:t>.</w:t>
      </w:r>
    </w:p>
    <w:p w14:paraId="545B088F" w14:textId="00CEE97D" w:rsidR="004F7EA3" w:rsidRPr="000B3F9E" w:rsidRDefault="004F7EA3" w:rsidP="00382D7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"/>
        </w:rPr>
      </w:pPr>
      <w:r w:rsidRPr="000B3F9E">
        <w:rPr>
          <w:rStyle w:val="normaltextrun"/>
          <w:rFonts w:ascii="Arial" w:hAnsi="Arial" w:cs="Arial"/>
          <w:lang w:val="en"/>
        </w:rPr>
        <w:t xml:space="preserve">Report to </w:t>
      </w:r>
      <w:r w:rsidR="00AF6F5E">
        <w:rPr>
          <w:rStyle w:val="normaltextrun"/>
          <w:rFonts w:ascii="Arial" w:hAnsi="Arial" w:cs="Arial"/>
          <w:lang w:val="en"/>
        </w:rPr>
        <w:t>legal authorities</w:t>
      </w:r>
      <w:r w:rsidR="00362CF5">
        <w:rPr>
          <w:rStyle w:val="normaltextrun"/>
          <w:rFonts w:ascii="Arial" w:hAnsi="Arial" w:cs="Arial"/>
          <w:lang w:val="en"/>
        </w:rPr>
        <w:t>.</w:t>
      </w:r>
    </w:p>
    <w:p w14:paraId="5DCC70EC" w14:textId="5AD523BB" w:rsidR="004F7EA3" w:rsidRPr="000B3F9E" w:rsidRDefault="004F7EA3" w:rsidP="00382D7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"/>
        </w:rPr>
      </w:pPr>
      <w:r w:rsidRPr="000B3F9E">
        <w:rPr>
          <w:rStyle w:val="normaltextrun"/>
          <w:rFonts w:ascii="Arial" w:hAnsi="Arial" w:cs="Arial"/>
          <w:lang w:val="en"/>
        </w:rPr>
        <w:t>Connect with responsible parties and clarify oversight and accountability</w:t>
      </w:r>
      <w:r w:rsidR="00362CF5">
        <w:rPr>
          <w:rStyle w:val="normaltextrun"/>
          <w:rFonts w:ascii="Arial" w:hAnsi="Arial" w:cs="Arial"/>
          <w:lang w:val="en"/>
        </w:rPr>
        <w:t>.</w:t>
      </w:r>
    </w:p>
    <w:p w14:paraId="0714EDB9" w14:textId="57B538CD" w:rsidR="004F7EA3" w:rsidRPr="000B3F9E" w:rsidRDefault="004F7EA3" w:rsidP="00382D7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"/>
        </w:rPr>
      </w:pPr>
      <w:r w:rsidRPr="000B3F9E">
        <w:rPr>
          <w:rStyle w:val="normaltextrun"/>
          <w:rFonts w:ascii="Arial" w:hAnsi="Arial" w:cs="Arial"/>
          <w:lang w:val="en"/>
        </w:rPr>
        <w:t>Risk assessment of further breaches</w:t>
      </w:r>
      <w:r w:rsidR="00362CF5">
        <w:rPr>
          <w:rStyle w:val="normaltextrun"/>
          <w:rFonts w:ascii="Arial" w:hAnsi="Arial" w:cs="Arial"/>
          <w:lang w:val="en"/>
        </w:rPr>
        <w:t>.</w:t>
      </w:r>
    </w:p>
    <w:p w14:paraId="48F07978" w14:textId="6572A01B" w:rsidR="004F7EA3" w:rsidRPr="000B3F9E" w:rsidRDefault="004F7EA3" w:rsidP="00382D7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"/>
        </w:rPr>
      </w:pPr>
      <w:r w:rsidRPr="000B3F9E">
        <w:rPr>
          <w:rStyle w:val="normaltextrun"/>
          <w:rFonts w:ascii="Arial" w:hAnsi="Arial" w:cs="Arial"/>
          <w:lang w:val="en"/>
        </w:rPr>
        <w:t>Notify students of the breach and remediation options</w:t>
      </w:r>
      <w:r w:rsidR="00362CF5">
        <w:rPr>
          <w:rStyle w:val="normaltextrun"/>
          <w:rFonts w:ascii="Arial" w:hAnsi="Arial" w:cs="Arial"/>
          <w:lang w:val="en"/>
        </w:rPr>
        <w:t>.</w:t>
      </w:r>
    </w:p>
    <w:p w14:paraId="4C70D153" w14:textId="1CD61B68" w:rsidR="004F7EA3" w:rsidRPr="000B3F9E" w:rsidRDefault="004F7EA3" w:rsidP="00382D7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"/>
        </w:rPr>
      </w:pPr>
      <w:r w:rsidRPr="000B3F9E">
        <w:rPr>
          <w:rStyle w:val="normaltextrun"/>
          <w:rFonts w:ascii="Arial" w:hAnsi="Arial" w:cs="Arial"/>
          <w:lang w:val="en"/>
        </w:rPr>
        <w:t xml:space="preserve">The </w:t>
      </w:r>
      <w:r w:rsidR="00362CF5">
        <w:rPr>
          <w:rStyle w:val="normaltextrun"/>
          <w:rFonts w:ascii="Arial" w:hAnsi="Arial" w:cs="Arial"/>
          <w:lang w:val="en"/>
        </w:rPr>
        <w:t>R</w:t>
      </w:r>
      <w:bookmarkStart w:id="3" w:name="_GoBack"/>
      <w:bookmarkEnd w:id="3"/>
      <w:r w:rsidRPr="000B3F9E">
        <w:rPr>
          <w:rStyle w:val="normaltextrun"/>
          <w:rFonts w:ascii="Arial" w:hAnsi="Arial" w:cs="Arial"/>
          <w:lang w:val="en"/>
        </w:rPr>
        <w:t xml:space="preserve">egistrar is required to make a note on the student record.  </w:t>
      </w:r>
    </w:p>
    <w:p w14:paraId="5E267224" w14:textId="77777777" w:rsidR="00E94F31" w:rsidRDefault="00E94F31" w:rsidP="008B787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014573DE" w14:textId="538CDDD1" w:rsidR="008B7874" w:rsidRDefault="008B7874" w:rsidP="008B787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8249E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>ELATED</w:t>
      </w:r>
    </w:p>
    <w:p w14:paraId="5FA9E44E" w14:textId="43CA90E1" w:rsidR="008B7874" w:rsidRPr="000B3F9E" w:rsidRDefault="00396F14" w:rsidP="008B7874">
      <w:pPr>
        <w:spacing w:line="240" w:lineRule="auto"/>
        <w:rPr>
          <w:rFonts w:ascii="Arial" w:hAnsi="Arial" w:cs="Arial"/>
          <w:sz w:val="24"/>
          <w:szCs w:val="24"/>
        </w:rPr>
      </w:pPr>
      <w:r w:rsidRPr="000B3F9E">
        <w:rPr>
          <w:rFonts w:ascii="Arial" w:hAnsi="Arial" w:cs="Arial"/>
          <w:sz w:val="24"/>
          <w:szCs w:val="24"/>
        </w:rPr>
        <w:t xml:space="preserve">Current CCC </w:t>
      </w:r>
      <w:hyperlink r:id="rId9" w:history="1">
        <w:r w:rsidRPr="000B3F9E">
          <w:rPr>
            <w:rStyle w:val="Hyperlink"/>
            <w:rFonts w:ascii="Arial" w:hAnsi="Arial" w:cs="Arial"/>
            <w:sz w:val="24"/>
            <w:szCs w:val="24"/>
          </w:rPr>
          <w:t>FERPA policy</w:t>
        </w:r>
      </w:hyperlink>
      <w:r w:rsidRPr="000B3F9E">
        <w:rPr>
          <w:rFonts w:ascii="Arial" w:hAnsi="Arial" w:cs="Arial"/>
          <w:sz w:val="24"/>
          <w:szCs w:val="24"/>
        </w:rPr>
        <w:t xml:space="preserve"> and CCC Board of Education policy on </w:t>
      </w:r>
      <w:hyperlink r:id="rId10" w:history="1">
        <w:r w:rsidRPr="000B3F9E">
          <w:rPr>
            <w:rStyle w:val="Hyperlink"/>
            <w:rFonts w:ascii="Arial" w:hAnsi="Arial" w:cs="Arial"/>
            <w:sz w:val="24"/>
            <w:szCs w:val="24"/>
          </w:rPr>
          <w:t>directory information</w:t>
        </w:r>
      </w:hyperlink>
    </w:p>
    <w:bookmarkEnd w:id="2"/>
    <w:p w14:paraId="550FA95A" w14:textId="77777777" w:rsidR="00E94F31" w:rsidRDefault="00E94F31" w:rsidP="008B787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13A875DB" w14:textId="11C1DB88" w:rsidR="008B7874" w:rsidRDefault="008B7874" w:rsidP="008B7874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EFFECTIVE DATE: </w:t>
      </w:r>
    </w:p>
    <w:p w14:paraId="40BE0D27" w14:textId="71ACEAF7" w:rsidR="008B7874" w:rsidRPr="000B3F9E" w:rsidRDefault="00C4460A" w:rsidP="008B7874">
      <w:pPr>
        <w:spacing w:line="240" w:lineRule="auto"/>
        <w:rPr>
          <w:rFonts w:ascii="Arial" w:hAnsi="Arial" w:cs="Arial"/>
          <w:sz w:val="24"/>
          <w:szCs w:val="24"/>
        </w:rPr>
      </w:pPr>
      <w:r w:rsidRPr="000B3F9E">
        <w:rPr>
          <w:rFonts w:ascii="Arial" w:hAnsi="Arial" w:cs="Arial"/>
          <w:sz w:val="24"/>
          <w:szCs w:val="24"/>
        </w:rPr>
        <w:t xml:space="preserve">This policy goes into effect upon approval. </w:t>
      </w:r>
    </w:p>
    <w:p w14:paraId="6930D756" w14:textId="77777777" w:rsidR="00E94F31" w:rsidRDefault="00E94F31" w:rsidP="008B7874">
      <w:pPr>
        <w:spacing w:after="0"/>
        <w:rPr>
          <w:rFonts w:ascii="Arial" w:hAnsi="Arial" w:cs="Arial"/>
          <w:b/>
          <w:sz w:val="28"/>
          <w:szCs w:val="28"/>
        </w:rPr>
      </w:pPr>
    </w:p>
    <w:p w14:paraId="560B6CA8" w14:textId="1E4C1E3D" w:rsidR="008B7874" w:rsidRPr="003413FC" w:rsidRDefault="008B7874" w:rsidP="008B7874">
      <w:pPr>
        <w:spacing w:after="0"/>
        <w:rPr>
          <w:rFonts w:ascii="Arial" w:hAnsi="Arial" w:cs="Arial"/>
          <w:b/>
          <w:sz w:val="28"/>
          <w:szCs w:val="28"/>
        </w:rPr>
      </w:pPr>
      <w:r w:rsidRPr="003413FC">
        <w:rPr>
          <w:rFonts w:ascii="Arial" w:hAnsi="Arial" w:cs="Arial"/>
          <w:b/>
          <w:sz w:val="28"/>
          <w:szCs w:val="28"/>
        </w:rPr>
        <w:t>END OF POLICY</w:t>
      </w:r>
    </w:p>
    <w:p w14:paraId="0F543A8E" w14:textId="77777777" w:rsidR="008B7874" w:rsidRPr="008E3CE6" w:rsidRDefault="008B7874" w:rsidP="008B7874">
      <w:pPr>
        <w:pStyle w:val="ListParagraph"/>
        <w:spacing w:line="240" w:lineRule="auto"/>
        <w:ind w:left="0"/>
        <w:contextualSpacing w:val="0"/>
        <w:rPr>
          <w:rFonts w:ascii="Arial" w:hAnsi="Arial" w:cs="Arial"/>
          <w:sz w:val="20"/>
        </w:rPr>
      </w:pPr>
    </w:p>
    <w:p w14:paraId="2D57250A" w14:textId="77777777" w:rsidR="008B7874" w:rsidRPr="008E3CE6" w:rsidRDefault="008B7874" w:rsidP="008B7874">
      <w:pPr>
        <w:rPr>
          <w:rFonts w:ascii="Arial" w:hAnsi="Arial" w:cs="Arial"/>
          <w:b/>
          <w:sz w:val="28"/>
          <w:szCs w:val="28"/>
        </w:rPr>
      </w:pPr>
      <w:r w:rsidRPr="008E3CE6">
        <w:rPr>
          <w:rFonts w:ascii="Arial" w:hAnsi="Arial" w:cs="Arial"/>
          <w:b/>
          <w:sz w:val="28"/>
          <w:szCs w:val="28"/>
        </w:rPr>
        <w:t>APPROVALS</w:t>
      </w:r>
    </w:p>
    <w:tbl>
      <w:tblPr>
        <w:tblStyle w:val="TableGrid"/>
        <w:tblW w:w="9528" w:type="dxa"/>
        <w:jc w:val="center"/>
        <w:tblLook w:val="04A0" w:firstRow="1" w:lastRow="0" w:firstColumn="1" w:lastColumn="0" w:noHBand="0" w:noVBand="1"/>
      </w:tblPr>
      <w:tblGrid>
        <w:gridCol w:w="4764"/>
        <w:gridCol w:w="4764"/>
      </w:tblGrid>
      <w:tr w:rsidR="00E06042" w:rsidRPr="000B3F9E" w14:paraId="2BA31A04" w14:textId="77777777" w:rsidTr="00BB3369">
        <w:trPr>
          <w:trHeight w:val="318"/>
          <w:jc w:val="center"/>
        </w:trPr>
        <w:tc>
          <w:tcPr>
            <w:tcW w:w="4764" w:type="dxa"/>
            <w:vAlign w:val="center"/>
          </w:tcPr>
          <w:p w14:paraId="682D455E" w14:textId="55D5A178" w:rsidR="00E06042" w:rsidRPr="000B3F9E" w:rsidRDefault="00E06042" w:rsidP="00BB3369">
            <w:pPr>
              <w:rPr>
                <w:rFonts w:ascii="Arial" w:hAnsi="Arial" w:cs="Arial"/>
              </w:rPr>
            </w:pPr>
            <w:r w:rsidRPr="000B3F9E">
              <w:rPr>
                <w:rFonts w:ascii="Arial" w:hAnsi="Arial" w:cs="Arial"/>
              </w:rPr>
              <w:t>Last Reviewed and Updated</w:t>
            </w:r>
          </w:p>
        </w:tc>
        <w:tc>
          <w:tcPr>
            <w:tcW w:w="4764" w:type="dxa"/>
          </w:tcPr>
          <w:p w14:paraId="2BCB26FA" w14:textId="77777777" w:rsidR="00E06042" w:rsidRPr="000B3F9E" w:rsidRDefault="00E06042" w:rsidP="00BB3369">
            <w:pPr>
              <w:rPr>
                <w:rFonts w:ascii="Arial" w:hAnsi="Arial" w:cs="Arial"/>
              </w:rPr>
            </w:pPr>
          </w:p>
        </w:tc>
      </w:tr>
      <w:tr w:rsidR="008B7874" w:rsidRPr="000B3F9E" w14:paraId="5EA93DCC" w14:textId="77777777" w:rsidTr="00BB3369">
        <w:trPr>
          <w:trHeight w:val="318"/>
          <w:jc w:val="center"/>
        </w:trPr>
        <w:tc>
          <w:tcPr>
            <w:tcW w:w="4764" w:type="dxa"/>
            <w:vAlign w:val="center"/>
          </w:tcPr>
          <w:p w14:paraId="0334C71B" w14:textId="77777777" w:rsidR="008B7874" w:rsidRPr="000B3F9E" w:rsidRDefault="008B7874" w:rsidP="00BB3369">
            <w:pPr>
              <w:rPr>
                <w:rFonts w:ascii="Arial" w:hAnsi="Arial" w:cs="Arial"/>
              </w:rPr>
            </w:pPr>
            <w:r w:rsidRPr="000B3F9E">
              <w:rPr>
                <w:rFonts w:ascii="Arial" w:hAnsi="Arial" w:cs="Arial"/>
              </w:rPr>
              <w:t>Maintained By</w:t>
            </w:r>
          </w:p>
        </w:tc>
        <w:tc>
          <w:tcPr>
            <w:tcW w:w="4764" w:type="dxa"/>
          </w:tcPr>
          <w:p w14:paraId="1AC6FB73" w14:textId="77777777" w:rsidR="008B7874" w:rsidRPr="000B3F9E" w:rsidRDefault="008B7874" w:rsidP="00BB3369">
            <w:pPr>
              <w:rPr>
                <w:rFonts w:ascii="Arial" w:hAnsi="Arial" w:cs="Arial"/>
              </w:rPr>
            </w:pPr>
            <w:r w:rsidRPr="000B3F9E">
              <w:rPr>
                <w:rFonts w:ascii="Arial" w:hAnsi="Arial" w:cs="Arial"/>
              </w:rPr>
              <w:t>Access, Retention, and Completion Committee (ARC)</w:t>
            </w:r>
          </w:p>
        </w:tc>
      </w:tr>
      <w:tr w:rsidR="00E06042" w:rsidRPr="000B3F9E" w14:paraId="6BA1E597" w14:textId="77777777" w:rsidTr="00BB3369">
        <w:trPr>
          <w:trHeight w:val="318"/>
          <w:jc w:val="center"/>
        </w:trPr>
        <w:tc>
          <w:tcPr>
            <w:tcW w:w="4764" w:type="dxa"/>
            <w:vAlign w:val="center"/>
          </w:tcPr>
          <w:p w14:paraId="49B3C038" w14:textId="3DC12898" w:rsidR="00E06042" w:rsidRPr="000B3F9E" w:rsidRDefault="00E06042" w:rsidP="00BB3369">
            <w:pPr>
              <w:rPr>
                <w:rFonts w:ascii="Arial" w:hAnsi="Arial" w:cs="Arial"/>
              </w:rPr>
            </w:pPr>
            <w:r w:rsidRPr="000B3F9E">
              <w:rPr>
                <w:rFonts w:ascii="Arial" w:hAnsi="Arial" w:cs="Arial"/>
              </w:rPr>
              <w:t>Administered By</w:t>
            </w:r>
          </w:p>
        </w:tc>
        <w:tc>
          <w:tcPr>
            <w:tcW w:w="4764" w:type="dxa"/>
          </w:tcPr>
          <w:p w14:paraId="0FE1FC8A" w14:textId="77777777" w:rsidR="00E06042" w:rsidRPr="000B3F9E" w:rsidRDefault="00E06042" w:rsidP="00BB3369">
            <w:pPr>
              <w:rPr>
                <w:rFonts w:ascii="Arial" w:hAnsi="Arial" w:cs="Arial"/>
              </w:rPr>
            </w:pPr>
          </w:p>
        </w:tc>
      </w:tr>
      <w:tr w:rsidR="008B7874" w:rsidRPr="000B3F9E" w14:paraId="75A17CAA" w14:textId="77777777" w:rsidTr="00BB3369">
        <w:trPr>
          <w:trHeight w:val="318"/>
          <w:jc w:val="center"/>
        </w:trPr>
        <w:tc>
          <w:tcPr>
            <w:tcW w:w="4764" w:type="dxa"/>
            <w:vAlign w:val="center"/>
          </w:tcPr>
          <w:p w14:paraId="1DB4B5D8" w14:textId="77777777" w:rsidR="008B7874" w:rsidRPr="000B3F9E" w:rsidRDefault="008B7874" w:rsidP="00BB3369">
            <w:pPr>
              <w:rPr>
                <w:rFonts w:ascii="Arial" w:hAnsi="Arial" w:cs="Arial"/>
              </w:rPr>
            </w:pPr>
            <w:r w:rsidRPr="000B3F9E">
              <w:rPr>
                <w:rFonts w:ascii="Arial" w:hAnsi="Arial" w:cs="Arial"/>
              </w:rPr>
              <w:t>ARC Initial Review</w:t>
            </w:r>
          </w:p>
        </w:tc>
        <w:tc>
          <w:tcPr>
            <w:tcW w:w="4764" w:type="dxa"/>
            <w:vAlign w:val="center"/>
          </w:tcPr>
          <w:p w14:paraId="38B0E72D" w14:textId="50AE99E6" w:rsidR="008B7874" w:rsidRPr="000B3F9E" w:rsidRDefault="008B7874" w:rsidP="00BB3369">
            <w:pPr>
              <w:rPr>
                <w:rFonts w:ascii="Arial" w:hAnsi="Arial" w:cs="Arial"/>
              </w:rPr>
            </w:pPr>
          </w:p>
        </w:tc>
      </w:tr>
      <w:tr w:rsidR="008B7874" w:rsidRPr="000B3F9E" w14:paraId="1275E9C5" w14:textId="77777777" w:rsidTr="00BB3369">
        <w:trPr>
          <w:trHeight w:val="318"/>
          <w:jc w:val="center"/>
        </w:trPr>
        <w:tc>
          <w:tcPr>
            <w:tcW w:w="4764" w:type="dxa"/>
            <w:vAlign w:val="center"/>
          </w:tcPr>
          <w:p w14:paraId="4F38855C" w14:textId="77777777" w:rsidR="008B7874" w:rsidRPr="000B3F9E" w:rsidRDefault="008B7874" w:rsidP="00BB3369">
            <w:pPr>
              <w:rPr>
                <w:rFonts w:ascii="Arial" w:hAnsi="Arial" w:cs="Arial"/>
              </w:rPr>
            </w:pPr>
            <w:r w:rsidRPr="000B3F9E">
              <w:rPr>
                <w:rFonts w:ascii="Arial" w:hAnsi="Arial" w:cs="Arial"/>
              </w:rPr>
              <w:t>ISP Committee – if appropriate</w:t>
            </w:r>
          </w:p>
        </w:tc>
        <w:tc>
          <w:tcPr>
            <w:tcW w:w="4764" w:type="dxa"/>
            <w:vAlign w:val="center"/>
          </w:tcPr>
          <w:p w14:paraId="46610126" w14:textId="5552EB7D" w:rsidR="008B7874" w:rsidRPr="000B3F9E" w:rsidRDefault="008B7874" w:rsidP="00BB3369">
            <w:pPr>
              <w:rPr>
                <w:rFonts w:ascii="Arial" w:hAnsi="Arial" w:cs="Arial"/>
              </w:rPr>
            </w:pPr>
          </w:p>
        </w:tc>
      </w:tr>
      <w:tr w:rsidR="008B7874" w:rsidRPr="000B3F9E" w14:paraId="7DB361DC" w14:textId="77777777" w:rsidTr="00BB3369">
        <w:trPr>
          <w:trHeight w:val="318"/>
          <w:jc w:val="center"/>
        </w:trPr>
        <w:tc>
          <w:tcPr>
            <w:tcW w:w="4764" w:type="dxa"/>
            <w:vAlign w:val="center"/>
          </w:tcPr>
          <w:p w14:paraId="5095F1AC" w14:textId="77777777" w:rsidR="008B7874" w:rsidRPr="000B3F9E" w:rsidRDefault="008B7874" w:rsidP="00BB3369">
            <w:pPr>
              <w:rPr>
                <w:rFonts w:ascii="Arial" w:hAnsi="Arial" w:cs="Arial"/>
              </w:rPr>
            </w:pPr>
            <w:r w:rsidRPr="000B3F9E">
              <w:rPr>
                <w:rFonts w:ascii="Arial" w:hAnsi="Arial" w:cs="Arial"/>
              </w:rPr>
              <w:t>College Council – first reading</w:t>
            </w:r>
          </w:p>
        </w:tc>
        <w:tc>
          <w:tcPr>
            <w:tcW w:w="4764" w:type="dxa"/>
            <w:vAlign w:val="center"/>
          </w:tcPr>
          <w:p w14:paraId="23653BC9" w14:textId="6920F991" w:rsidR="008B7874" w:rsidRPr="000B3F9E" w:rsidRDefault="008B7874" w:rsidP="00BB3369">
            <w:pPr>
              <w:rPr>
                <w:rFonts w:ascii="Arial" w:hAnsi="Arial" w:cs="Arial"/>
              </w:rPr>
            </w:pPr>
          </w:p>
        </w:tc>
      </w:tr>
      <w:tr w:rsidR="008B7874" w:rsidRPr="000B3F9E" w14:paraId="5652D26A" w14:textId="77777777" w:rsidTr="00BB3369">
        <w:trPr>
          <w:trHeight w:val="318"/>
          <w:jc w:val="center"/>
        </w:trPr>
        <w:tc>
          <w:tcPr>
            <w:tcW w:w="4764" w:type="dxa"/>
            <w:vAlign w:val="center"/>
          </w:tcPr>
          <w:p w14:paraId="65BE3EF0" w14:textId="77777777" w:rsidR="008B7874" w:rsidRPr="000B3F9E" w:rsidRDefault="008B7874" w:rsidP="00BB3369">
            <w:pPr>
              <w:rPr>
                <w:rFonts w:ascii="Arial" w:hAnsi="Arial" w:cs="Arial"/>
              </w:rPr>
            </w:pPr>
            <w:r w:rsidRPr="000B3F9E">
              <w:rPr>
                <w:rFonts w:ascii="Arial" w:hAnsi="Arial" w:cs="Arial"/>
              </w:rPr>
              <w:t>College Council – second reading</w:t>
            </w:r>
          </w:p>
        </w:tc>
        <w:tc>
          <w:tcPr>
            <w:tcW w:w="4764" w:type="dxa"/>
            <w:vAlign w:val="center"/>
          </w:tcPr>
          <w:p w14:paraId="4E816D81" w14:textId="311323BE" w:rsidR="008B7874" w:rsidRPr="000B3F9E" w:rsidRDefault="008B7874" w:rsidP="00BB3369">
            <w:pPr>
              <w:rPr>
                <w:rFonts w:ascii="Arial" w:hAnsi="Arial" w:cs="Arial"/>
              </w:rPr>
            </w:pPr>
          </w:p>
        </w:tc>
      </w:tr>
      <w:tr w:rsidR="008B7874" w:rsidRPr="000B3F9E" w14:paraId="12CC8F1D" w14:textId="77777777" w:rsidTr="00BB3369">
        <w:trPr>
          <w:trHeight w:val="334"/>
          <w:jc w:val="center"/>
        </w:trPr>
        <w:tc>
          <w:tcPr>
            <w:tcW w:w="4764" w:type="dxa"/>
            <w:vAlign w:val="center"/>
          </w:tcPr>
          <w:p w14:paraId="425F2392" w14:textId="77777777" w:rsidR="008B7874" w:rsidRPr="000B3F9E" w:rsidRDefault="008B7874" w:rsidP="00BB3369">
            <w:pPr>
              <w:rPr>
                <w:rFonts w:ascii="Arial" w:hAnsi="Arial" w:cs="Arial"/>
              </w:rPr>
            </w:pPr>
            <w:r w:rsidRPr="000B3F9E">
              <w:rPr>
                <w:rFonts w:ascii="Arial" w:hAnsi="Arial" w:cs="Arial"/>
              </w:rPr>
              <w:t>President’s Council – if appropriate</w:t>
            </w:r>
          </w:p>
        </w:tc>
        <w:tc>
          <w:tcPr>
            <w:tcW w:w="4764" w:type="dxa"/>
            <w:vAlign w:val="center"/>
          </w:tcPr>
          <w:p w14:paraId="56E46391" w14:textId="464EF15C" w:rsidR="008B7874" w:rsidRPr="000B3F9E" w:rsidRDefault="008B7874" w:rsidP="00BB3369">
            <w:pPr>
              <w:rPr>
                <w:rFonts w:ascii="Arial" w:hAnsi="Arial" w:cs="Arial"/>
              </w:rPr>
            </w:pPr>
          </w:p>
        </w:tc>
      </w:tr>
      <w:tr w:rsidR="008B7874" w:rsidRPr="000B3F9E" w14:paraId="4D461EE9" w14:textId="77777777" w:rsidTr="00BB3369">
        <w:trPr>
          <w:trHeight w:val="318"/>
          <w:jc w:val="center"/>
        </w:trPr>
        <w:tc>
          <w:tcPr>
            <w:tcW w:w="4764" w:type="dxa"/>
            <w:vAlign w:val="center"/>
          </w:tcPr>
          <w:p w14:paraId="4C9B126B" w14:textId="77777777" w:rsidR="008B7874" w:rsidRPr="000B3F9E" w:rsidRDefault="008B7874" w:rsidP="00BB3369">
            <w:pPr>
              <w:rPr>
                <w:rFonts w:ascii="Arial" w:hAnsi="Arial" w:cs="Arial"/>
              </w:rPr>
            </w:pPr>
            <w:r w:rsidRPr="000B3F9E">
              <w:rPr>
                <w:rFonts w:ascii="Arial" w:hAnsi="Arial" w:cs="Arial"/>
              </w:rPr>
              <w:t>Final ARC Review and Approval</w:t>
            </w:r>
          </w:p>
        </w:tc>
        <w:tc>
          <w:tcPr>
            <w:tcW w:w="4764" w:type="dxa"/>
            <w:vAlign w:val="center"/>
          </w:tcPr>
          <w:p w14:paraId="741E6643" w14:textId="5D8E3F3F" w:rsidR="008B7874" w:rsidRPr="000B3F9E" w:rsidRDefault="008B7874" w:rsidP="00BB3369">
            <w:pPr>
              <w:rPr>
                <w:rFonts w:ascii="Arial" w:hAnsi="Arial" w:cs="Arial"/>
              </w:rPr>
            </w:pPr>
          </w:p>
        </w:tc>
      </w:tr>
    </w:tbl>
    <w:p w14:paraId="74213E62" w14:textId="51322D72" w:rsidR="00CF7693" w:rsidRDefault="00CF7693" w:rsidP="00CF7693">
      <w:pPr>
        <w:spacing w:after="200" w:line="276" w:lineRule="auto"/>
        <w:rPr>
          <w:rFonts w:ascii="Arial" w:hAnsi="Arial" w:cs="Arial"/>
          <w:b/>
          <w:sz w:val="44"/>
          <w:szCs w:val="44"/>
        </w:rPr>
      </w:pPr>
    </w:p>
    <w:sectPr w:rsidR="00CF769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07F3A1C" w16cex:dateUtc="2024-01-10T19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CAB78" w14:textId="77777777" w:rsidR="00FD3118" w:rsidRDefault="00FD3118" w:rsidP="007865DC">
      <w:pPr>
        <w:spacing w:after="0" w:line="240" w:lineRule="auto"/>
      </w:pPr>
      <w:r>
        <w:separator/>
      </w:r>
    </w:p>
  </w:endnote>
  <w:endnote w:type="continuationSeparator" w:id="0">
    <w:p w14:paraId="004CAB32" w14:textId="77777777" w:rsidR="00FD3118" w:rsidRDefault="00FD3118" w:rsidP="0078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C9D5" w14:textId="08F08968" w:rsidR="00CF7693" w:rsidRDefault="00CF7693">
    <w:pPr>
      <w:pStyle w:val="Footer"/>
    </w:pPr>
    <w:r>
      <w:rPr>
        <w:noProof/>
        <w:color w:val="5B9BD5" w:themeColor="accent1"/>
        <w:shd w:val="clear" w:color="auto" w:fill="E6E6E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7A30A" wp14:editId="244682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5EF3B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  <w:shd w:val="clear" w:color="auto" w:fill="E6E6E6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  <w:shd w:val="clear" w:color="auto" w:fill="E6E6E6"/>
      </w:rPr>
      <w:fldChar w:fldCharType="separate"/>
    </w:r>
    <w:r w:rsidR="008B7874" w:rsidRPr="008B7874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2EDBE" w14:textId="77777777" w:rsidR="00FD3118" w:rsidRDefault="00FD3118" w:rsidP="007865DC">
      <w:pPr>
        <w:spacing w:after="0" w:line="240" w:lineRule="auto"/>
      </w:pPr>
      <w:r>
        <w:separator/>
      </w:r>
    </w:p>
  </w:footnote>
  <w:footnote w:type="continuationSeparator" w:id="0">
    <w:p w14:paraId="2700F128" w14:textId="77777777" w:rsidR="00FD3118" w:rsidRDefault="00FD3118" w:rsidP="0078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6531" w14:textId="620E9451" w:rsidR="001A7610" w:rsidRDefault="001A7610">
    <w:pPr>
      <w:pStyle w:val="Header"/>
    </w:pPr>
  </w:p>
  <w:p w14:paraId="55F01277" w14:textId="222A2231" w:rsidR="00BA6871" w:rsidRDefault="00BA6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1B7F"/>
    <w:multiLevelType w:val="hybridMultilevel"/>
    <w:tmpl w:val="2A8E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693D"/>
    <w:multiLevelType w:val="hybridMultilevel"/>
    <w:tmpl w:val="4788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623EB"/>
    <w:multiLevelType w:val="hybridMultilevel"/>
    <w:tmpl w:val="A1361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B3C59"/>
    <w:multiLevelType w:val="hybridMultilevel"/>
    <w:tmpl w:val="D250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07F13"/>
    <w:multiLevelType w:val="hybridMultilevel"/>
    <w:tmpl w:val="B692A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257D7E"/>
    <w:multiLevelType w:val="hybridMultilevel"/>
    <w:tmpl w:val="3AB0F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B7DD7"/>
    <w:multiLevelType w:val="hybridMultilevel"/>
    <w:tmpl w:val="027A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71E4F"/>
    <w:multiLevelType w:val="hybridMultilevel"/>
    <w:tmpl w:val="CD747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109C1"/>
    <w:multiLevelType w:val="hybridMultilevel"/>
    <w:tmpl w:val="B0CE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044D8"/>
    <w:multiLevelType w:val="hybridMultilevel"/>
    <w:tmpl w:val="C1403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1745A"/>
    <w:multiLevelType w:val="multilevel"/>
    <w:tmpl w:val="9F9E09F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768223C5"/>
    <w:multiLevelType w:val="hybridMultilevel"/>
    <w:tmpl w:val="819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A28A3"/>
    <w:multiLevelType w:val="hybridMultilevel"/>
    <w:tmpl w:val="24B0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MDQyNDcxMzc2NrJU0lEKTi0uzszPAykwsqwFABFVJootAAAA"/>
  </w:docVars>
  <w:rsids>
    <w:rsidRoot w:val="006A463D"/>
    <w:rsid w:val="000135AC"/>
    <w:rsid w:val="00013FC8"/>
    <w:rsid w:val="00015B53"/>
    <w:rsid w:val="00022C26"/>
    <w:rsid w:val="00026439"/>
    <w:rsid w:val="000377EC"/>
    <w:rsid w:val="00050897"/>
    <w:rsid w:val="0005445A"/>
    <w:rsid w:val="000753D6"/>
    <w:rsid w:val="000B3F9E"/>
    <w:rsid w:val="000B3FBE"/>
    <w:rsid w:val="000C5E81"/>
    <w:rsid w:val="000D7A33"/>
    <w:rsid w:val="000F4179"/>
    <w:rsid w:val="00111C0A"/>
    <w:rsid w:val="00113712"/>
    <w:rsid w:val="00122264"/>
    <w:rsid w:val="001419B3"/>
    <w:rsid w:val="00155AC2"/>
    <w:rsid w:val="00160496"/>
    <w:rsid w:val="001609DA"/>
    <w:rsid w:val="001A539F"/>
    <w:rsid w:val="001A7610"/>
    <w:rsid w:val="001B0FF8"/>
    <w:rsid w:val="001D0023"/>
    <w:rsid w:val="001D3AF2"/>
    <w:rsid w:val="001F1ADC"/>
    <w:rsid w:val="00200F23"/>
    <w:rsid w:val="00203487"/>
    <w:rsid w:val="00213846"/>
    <w:rsid w:val="0022180C"/>
    <w:rsid w:val="00236C52"/>
    <w:rsid w:val="00260B37"/>
    <w:rsid w:val="0026209B"/>
    <w:rsid w:val="00285DB9"/>
    <w:rsid w:val="0028761A"/>
    <w:rsid w:val="00292910"/>
    <w:rsid w:val="002A65F6"/>
    <w:rsid w:val="002C3CE8"/>
    <w:rsid w:val="002D7DE0"/>
    <w:rsid w:val="002E617F"/>
    <w:rsid w:val="003041FD"/>
    <w:rsid w:val="00310129"/>
    <w:rsid w:val="00317F3A"/>
    <w:rsid w:val="00332E82"/>
    <w:rsid w:val="00340F6F"/>
    <w:rsid w:val="00350D8B"/>
    <w:rsid w:val="00362CF5"/>
    <w:rsid w:val="00382D71"/>
    <w:rsid w:val="003833F9"/>
    <w:rsid w:val="00386081"/>
    <w:rsid w:val="003949EB"/>
    <w:rsid w:val="00396F14"/>
    <w:rsid w:val="003A171B"/>
    <w:rsid w:val="003B1EDF"/>
    <w:rsid w:val="003B5202"/>
    <w:rsid w:val="003C1FFE"/>
    <w:rsid w:val="003E0E74"/>
    <w:rsid w:val="003F340D"/>
    <w:rsid w:val="003F6118"/>
    <w:rsid w:val="00401532"/>
    <w:rsid w:val="00415B59"/>
    <w:rsid w:val="00415F81"/>
    <w:rsid w:val="00417AED"/>
    <w:rsid w:val="00430CF8"/>
    <w:rsid w:val="00436936"/>
    <w:rsid w:val="0045426F"/>
    <w:rsid w:val="00460EA1"/>
    <w:rsid w:val="0046121F"/>
    <w:rsid w:val="004614E4"/>
    <w:rsid w:val="00467148"/>
    <w:rsid w:val="00471540"/>
    <w:rsid w:val="00480BDC"/>
    <w:rsid w:val="0049177E"/>
    <w:rsid w:val="00492D9E"/>
    <w:rsid w:val="004A0016"/>
    <w:rsid w:val="004A0EFB"/>
    <w:rsid w:val="004A79BF"/>
    <w:rsid w:val="004D1DEF"/>
    <w:rsid w:val="004D1E07"/>
    <w:rsid w:val="004D2DA8"/>
    <w:rsid w:val="004D7680"/>
    <w:rsid w:val="004E176E"/>
    <w:rsid w:val="004E6A29"/>
    <w:rsid w:val="004F6AE2"/>
    <w:rsid w:val="004F7EA3"/>
    <w:rsid w:val="005168DA"/>
    <w:rsid w:val="00543751"/>
    <w:rsid w:val="00557068"/>
    <w:rsid w:val="00577088"/>
    <w:rsid w:val="00583E2B"/>
    <w:rsid w:val="00591AC3"/>
    <w:rsid w:val="00593F9A"/>
    <w:rsid w:val="005A18CB"/>
    <w:rsid w:val="005A7FA4"/>
    <w:rsid w:val="005B1D32"/>
    <w:rsid w:val="005B4CA8"/>
    <w:rsid w:val="005C2321"/>
    <w:rsid w:val="005E4907"/>
    <w:rsid w:val="005F5D23"/>
    <w:rsid w:val="006259E1"/>
    <w:rsid w:val="00630294"/>
    <w:rsid w:val="00631168"/>
    <w:rsid w:val="00645242"/>
    <w:rsid w:val="00653240"/>
    <w:rsid w:val="00676B7C"/>
    <w:rsid w:val="00684EA8"/>
    <w:rsid w:val="0069383E"/>
    <w:rsid w:val="006A18BF"/>
    <w:rsid w:val="006A463D"/>
    <w:rsid w:val="006A5A67"/>
    <w:rsid w:val="006A6780"/>
    <w:rsid w:val="006B177D"/>
    <w:rsid w:val="006B1B5E"/>
    <w:rsid w:val="006C7091"/>
    <w:rsid w:val="006D6F68"/>
    <w:rsid w:val="006E13DD"/>
    <w:rsid w:val="006F3890"/>
    <w:rsid w:val="007125E4"/>
    <w:rsid w:val="00716CAA"/>
    <w:rsid w:val="00737B5F"/>
    <w:rsid w:val="007575AC"/>
    <w:rsid w:val="00763357"/>
    <w:rsid w:val="007865DC"/>
    <w:rsid w:val="0078672B"/>
    <w:rsid w:val="007900E8"/>
    <w:rsid w:val="00795B85"/>
    <w:rsid w:val="007A1EDA"/>
    <w:rsid w:val="007A446E"/>
    <w:rsid w:val="007A6A26"/>
    <w:rsid w:val="007A7091"/>
    <w:rsid w:val="007D77E5"/>
    <w:rsid w:val="007F4382"/>
    <w:rsid w:val="007F5758"/>
    <w:rsid w:val="008000F1"/>
    <w:rsid w:val="00810274"/>
    <w:rsid w:val="00812E02"/>
    <w:rsid w:val="00813EDB"/>
    <w:rsid w:val="00851681"/>
    <w:rsid w:val="00852DB7"/>
    <w:rsid w:val="00873C14"/>
    <w:rsid w:val="008828AE"/>
    <w:rsid w:val="00884BF5"/>
    <w:rsid w:val="00891550"/>
    <w:rsid w:val="00894CF0"/>
    <w:rsid w:val="0089623B"/>
    <w:rsid w:val="008A05F7"/>
    <w:rsid w:val="008B7874"/>
    <w:rsid w:val="008C76F8"/>
    <w:rsid w:val="008E3CE6"/>
    <w:rsid w:val="00910E4E"/>
    <w:rsid w:val="00936668"/>
    <w:rsid w:val="00941991"/>
    <w:rsid w:val="009511C0"/>
    <w:rsid w:val="00955269"/>
    <w:rsid w:val="00957F2D"/>
    <w:rsid w:val="0097632D"/>
    <w:rsid w:val="00983CD5"/>
    <w:rsid w:val="0099379A"/>
    <w:rsid w:val="009A4F36"/>
    <w:rsid w:val="009A5125"/>
    <w:rsid w:val="009B38D8"/>
    <w:rsid w:val="009C6DAE"/>
    <w:rsid w:val="009E040B"/>
    <w:rsid w:val="00A004A9"/>
    <w:rsid w:val="00A01321"/>
    <w:rsid w:val="00A0230F"/>
    <w:rsid w:val="00A075B1"/>
    <w:rsid w:val="00A306D2"/>
    <w:rsid w:val="00A30B99"/>
    <w:rsid w:val="00A539DF"/>
    <w:rsid w:val="00A54178"/>
    <w:rsid w:val="00A67917"/>
    <w:rsid w:val="00A71430"/>
    <w:rsid w:val="00A72147"/>
    <w:rsid w:val="00A80D53"/>
    <w:rsid w:val="00A9464A"/>
    <w:rsid w:val="00A9530B"/>
    <w:rsid w:val="00AA1E3D"/>
    <w:rsid w:val="00AB4F10"/>
    <w:rsid w:val="00AB75C0"/>
    <w:rsid w:val="00AD7C19"/>
    <w:rsid w:val="00AE1162"/>
    <w:rsid w:val="00AF0B49"/>
    <w:rsid w:val="00AF61D9"/>
    <w:rsid w:val="00AF6D90"/>
    <w:rsid w:val="00AF6F5E"/>
    <w:rsid w:val="00B00593"/>
    <w:rsid w:val="00B05CA0"/>
    <w:rsid w:val="00B11C6C"/>
    <w:rsid w:val="00B2465B"/>
    <w:rsid w:val="00B32824"/>
    <w:rsid w:val="00B36AD1"/>
    <w:rsid w:val="00B40633"/>
    <w:rsid w:val="00B46D58"/>
    <w:rsid w:val="00B8642E"/>
    <w:rsid w:val="00B970E5"/>
    <w:rsid w:val="00BA6871"/>
    <w:rsid w:val="00BC179B"/>
    <w:rsid w:val="00BD0E14"/>
    <w:rsid w:val="00BF20C5"/>
    <w:rsid w:val="00C03D59"/>
    <w:rsid w:val="00C051B8"/>
    <w:rsid w:val="00C106C4"/>
    <w:rsid w:val="00C12DFB"/>
    <w:rsid w:val="00C3162C"/>
    <w:rsid w:val="00C31D0F"/>
    <w:rsid w:val="00C328D3"/>
    <w:rsid w:val="00C4460A"/>
    <w:rsid w:val="00C46B44"/>
    <w:rsid w:val="00C5052E"/>
    <w:rsid w:val="00C555A0"/>
    <w:rsid w:val="00C66E24"/>
    <w:rsid w:val="00C6762C"/>
    <w:rsid w:val="00C738D5"/>
    <w:rsid w:val="00C74B44"/>
    <w:rsid w:val="00C77DD0"/>
    <w:rsid w:val="00CA2826"/>
    <w:rsid w:val="00CD0BE0"/>
    <w:rsid w:val="00CF0054"/>
    <w:rsid w:val="00CF7693"/>
    <w:rsid w:val="00D009D4"/>
    <w:rsid w:val="00D0287D"/>
    <w:rsid w:val="00D06549"/>
    <w:rsid w:val="00D14B41"/>
    <w:rsid w:val="00D27F94"/>
    <w:rsid w:val="00D3039B"/>
    <w:rsid w:val="00D3082A"/>
    <w:rsid w:val="00D33E6F"/>
    <w:rsid w:val="00D654BB"/>
    <w:rsid w:val="00D75C73"/>
    <w:rsid w:val="00D84F98"/>
    <w:rsid w:val="00D96532"/>
    <w:rsid w:val="00DA0413"/>
    <w:rsid w:val="00DA1145"/>
    <w:rsid w:val="00DA77C2"/>
    <w:rsid w:val="00DB604A"/>
    <w:rsid w:val="00DB6B3B"/>
    <w:rsid w:val="00DB6CC5"/>
    <w:rsid w:val="00DBE57A"/>
    <w:rsid w:val="00DD01E4"/>
    <w:rsid w:val="00DF6D9C"/>
    <w:rsid w:val="00E06042"/>
    <w:rsid w:val="00E07574"/>
    <w:rsid w:val="00E112F7"/>
    <w:rsid w:val="00E2512F"/>
    <w:rsid w:val="00E5688F"/>
    <w:rsid w:val="00E56B94"/>
    <w:rsid w:val="00E6771F"/>
    <w:rsid w:val="00E90261"/>
    <w:rsid w:val="00E90776"/>
    <w:rsid w:val="00E921AF"/>
    <w:rsid w:val="00E934DE"/>
    <w:rsid w:val="00E94F31"/>
    <w:rsid w:val="00EA331B"/>
    <w:rsid w:val="00EA5994"/>
    <w:rsid w:val="00EC4C7B"/>
    <w:rsid w:val="00EC575A"/>
    <w:rsid w:val="00ED6710"/>
    <w:rsid w:val="00EF03EB"/>
    <w:rsid w:val="00F20726"/>
    <w:rsid w:val="00F24E34"/>
    <w:rsid w:val="00F33CE0"/>
    <w:rsid w:val="00F42A55"/>
    <w:rsid w:val="00F47AF0"/>
    <w:rsid w:val="00F53449"/>
    <w:rsid w:val="00F546A9"/>
    <w:rsid w:val="00F5745C"/>
    <w:rsid w:val="00F6435E"/>
    <w:rsid w:val="00F911A2"/>
    <w:rsid w:val="00FA1635"/>
    <w:rsid w:val="00FA3B00"/>
    <w:rsid w:val="00FC5EF3"/>
    <w:rsid w:val="00FD3118"/>
    <w:rsid w:val="00FE462D"/>
    <w:rsid w:val="00FF36D9"/>
    <w:rsid w:val="00FF5421"/>
    <w:rsid w:val="00FF78C9"/>
    <w:rsid w:val="03448128"/>
    <w:rsid w:val="050AEA5B"/>
    <w:rsid w:val="05ED00EE"/>
    <w:rsid w:val="07369AA2"/>
    <w:rsid w:val="076585E9"/>
    <w:rsid w:val="07D566A9"/>
    <w:rsid w:val="086BCC70"/>
    <w:rsid w:val="09364F8C"/>
    <w:rsid w:val="09FF72DD"/>
    <w:rsid w:val="0B9B433E"/>
    <w:rsid w:val="0BE1EEFC"/>
    <w:rsid w:val="0EEB89CC"/>
    <w:rsid w:val="0F2A5DD0"/>
    <w:rsid w:val="112C3780"/>
    <w:rsid w:val="15AD3B4F"/>
    <w:rsid w:val="15B0142E"/>
    <w:rsid w:val="17B0A179"/>
    <w:rsid w:val="1AD577F0"/>
    <w:rsid w:val="1AE8423B"/>
    <w:rsid w:val="1BEAB018"/>
    <w:rsid w:val="1D22FC74"/>
    <w:rsid w:val="1E8F1563"/>
    <w:rsid w:val="1E969A86"/>
    <w:rsid w:val="1F25AD3A"/>
    <w:rsid w:val="1F46957A"/>
    <w:rsid w:val="1F8DD738"/>
    <w:rsid w:val="20E265DB"/>
    <w:rsid w:val="224284CD"/>
    <w:rsid w:val="23E5B0C5"/>
    <w:rsid w:val="27387F02"/>
    <w:rsid w:val="297DA014"/>
    <w:rsid w:val="29834E7B"/>
    <w:rsid w:val="2AED2CAA"/>
    <w:rsid w:val="2C88FD0B"/>
    <w:rsid w:val="2DD65E84"/>
    <w:rsid w:val="2F010C2B"/>
    <w:rsid w:val="300BA160"/>
    <w:rsid w:val="31591C58"/>
    <w:rsid w:val="31D33739"/>
    <w:rsid w:val="326157A2"/>
    <w:rsid w:val="33D47D4E"/>
    <w:rsid w:val="344A0AA3"/>
    <w:rsid w:val="3470E532"/>
    <w:rsid w:val="3517DFEB"/>
    <w:rsid w:val="354D1ECB"/>
    <w:rsid w:val="35704DAF"/>
    <w:rsid w:val="35E5DB04"/>
    <w:rsid w:val="35F1F3F8"/>
    <w:rsid w:val="375C9460"/>
    <w:rsid w:val="3781AB65"/>
    <w:rsid w:val="37A2CAC0"/>
    <w:rsid w:val="380BC99D"/>
    <w:rsid w:val="3B0B3DFA"/>
    <w:rsid w:val="3B5E69A7"/>
    <w:rsid w:val="3B7A0681"/>
    <w:rsid w:val="3BA22289"/>
    <w:rsid w:val="3CF150B0"/>
    <w:rsid w:val="3F2EB429"/>
    <w:rsid w:val="3F6C347C"/>
    <w:rsid w:val="41D01FA8"/>
    <w:rsid w:val="41D424BE"/>
    <w:rsid w:val="45093734"/>
    <w:rsid w:val="46610C0F"/>
    <w:rsid w:val="46D43991"/>
    <w:rsid w:val="477EA6D2"/>
    <w:rsid w:val="4818DCE5"/>
    <w:rsid w:val="4A4CAAE3"/>
    <w:rsid w:val="4C4F18EA"/>
    <w:rsid w:val="4D8FDDB9"/>
    <w:rsid w:val="5033F320"/>
    <w:rsid w:val="5128CABA"/>
    <w:rsid w:val="538A0159"/>
    <w:rsid w:val="53D43D92"/>
    <w:rsid w:val="548C9999"/>
    <w:rsid w:val="55509E58"/>
    <w:rsid w:val="581F53B0"/>
    <w:rsid w:val="584C438F"/>
    <w:rsid w:val="58505827"/>
    <w:rsid w:val="5A245DF0"/>
    <w:rsid w:val="5AE69F2E"/>
    <w:rsid w:val="5AFCB8FA"/>
    <w:rsid w:val="5CFDF415"/>
    <w:rsid w:val="5DCCF48D"/>
    <w:rsid w:val="5FC076F3"/>
    <w:rsid w:val="607DFA02"/>
    <w:rsid w:val="6111F65A"/>
    <w:rsid w:val="61689951"/>
    <w:rsid w:val="616C573C"/>
    <w:rsid w:val="624DACAA"/>
    <w:rsid w:val="625A2453"/>
    <w:rsid w:val="6297DCCC"/>
    <w:rsid w:val="63B217D9"/>
    <w:rsid w:val="63C7123B"/>
    <w:rsid w:val="64304D77"/>
    <w:rsid w:val="6617B849"/>
    <w:rsid w:val="66F1A0D8"/>
    <w:rsid w:val="68890BE7"/>
    <w:rsid w:val="69EC9013"/>
    <w:rsid w:val="6A04F11B"/>
    <w:rsid w:val="6B03299A"/>
    <w:rsid w:val="6B5F1F21"/>
    <w:rsid w:val="6F788CB3"/>
    <w:rsid w:val="7192862C"/>
    <w:rsid w:val="723458C8"/>
    <w:rsid w:val="726E456E"/>
    <w:rsid w:val="7270122E"/>
    <w:rsid w:val="73D02929"/>
    <w:rsid w:val="74BBFE96"/>
    <w:rsid w:val="753A2700"/>
    <w:rsid w:val="7647AFF1"/>
    <w:rsid w:val="7707C9EB"/>
    <w:rsid w:val="77C33BC3"/>
    <w:rsid w:val="7A6F6195"/>
    <w:rsid w:val="7B159AA8"/>
    <w:rsid w:val="7B52BEAF"/>
    <w:rsid w:val="7C70F4E0"/>
    <w:rsid w:val="7D2A7B2D"/>
    <w:rsid w:val="7E4D3B6A"/>
    <w:rsid w:val="7E81222A"/>
    <w:rsid w:val="7E8F3D01"/>
    <w:rsid w:val="7EE8641F"/>
    <w:rsid w:val="7EEDB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E6A02F1"/>
  <w15:docId w15:val="{237F4003-C99F-47C5-9A6C-6C05A157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63D"/>
  </w:style>
  <w:style w:type="paragraph" w:styleId="Heading1">
    <w:name w:val="heading 1"/>
    <w:basedOn w:val="Normal"/>
    <w:link w:val="Heading1Char"/>
    <w:uiPriority w:val="9"/>
    <w:qFormat/>
    <w:rsid w:val="00454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54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42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DC"/>
  </w:style>
  <w:style w:type="paragraph" w:styleId="Footer">
    <w:name w:val="footer"/>
    <w:basedOn w:val="Normal"/>
    <w:link w:val="FooterChar"/>
    <w:uiPriority w:val="99"/>
    <w:unhideWhenUsed/>
    <w:rsid w:val="0078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DC"/>
  </w:style>
  <w:style w:type="table" w:styleId="TableGrid">
    <w:name w:val="Table Grid"/>
    <w:basedOn w:val="TableNormal"/>
    <w:uiPriority w:val="39"/>
    <w:rsid w:val="003F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3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F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4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42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42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26F"/>
    <w:rPr>
      <w:b/>
      <w:bCs/>
    </w:rPr>
  </w:style>
  <w:style w:type="character" w:styleId="Hyperlink">
    <w:name w:val="Hyperlink"/>
    <w:basedOn w:val="DefaultParagraphFont"/>
    <w:uiPriority w:val="99"/>
    <w:unhideWhenUsed/>
    <w:rsid w:val="0045426F"/>
    <w:rPr>
      <w:color w:val="0000FF"/>
      <w:u w:val="single"/>
    </w:rPr>
  </w:style>
  <w:style w:type="paragraph" w:customStyle="1" w:styleId="paragraph">
    <w:name w:val="paragraph"/>
    <w:basedOn w:val="Normal"/>
    <w:rsid w:val="0085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1681"/>
  </w:style>
  <w:style w:type="character" w:customStyle="1" w:styleId="eop">
    <w:name w:val="eop"/>
    <w:basedOn w:val="DefaultParagraphFont"/>
    <w:rsid w:val="00851681"/>
  </w:style>
  <w:style w:type="character" w:styleId="UnresolvedMention">
    <w:name w:val="Unresolved Mention"/>
    <w:basedOn w:val="DefaultParagraphFont"/>
    <w:uiPriority w:val="99"/>
    <w:semiHidden/>
    <w:unhideWhenUsed/>
    <w:rsid w:val="00396F1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026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5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1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policy.osba.org/clackcc/J/JOA%20G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ackamas.edu/docs/default-source/about-us/accreditation-and-policies/ccc-ferpa-policy.pdf?sfvrsn=919479b9_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1A57-494C-4675-BF31-BCDE66B7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2520</Characters>
  <Application>Microsoft Office Word</Application>
  <DocSecurity>0</DocSecurity>
  <Lines>84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Stewart</dc:creator>
  <cp:keywords/>
  <dc:description/>
  <cp:lastModifiedBy>Jennifer Anderson</cp:lastModifiedBy>
  <cp:revision>5</cp:revision>
  <cp:lastPrinted>2019-05-03T23:12:00Z</cp:lastPrinted>
  <dcterms:created xsi:type="dcterms:W3CDTF">2024-01-11T16:49:00Z</dcterms:created>
  <dcterms:modified xsi:type="dcterms:W3CDTF">2024-01-12T01:55:00Z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4fa1ec899760846c97bf3ab19603ccbdd473b38d265c297d1cf867f888e7f333</vt:lpwstr>
  </property>
</Properties>
</file>